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2016 27 vom 13. Dezember 2016</w:t>
      </w:r>
    </w:p>
    <w:p>
      <w:r>
        <w:t>SZ Gerichte, 2016-12-13, DE</w:t>
      </w:r>
    </w:p>
    <w:p>
      <w:r>
        <w:rPr>
          <w:b/>
        </w:rPr>
        <w:t xml:space="preserve">Quelle: </w:t>
      </w:r>
      <w:r>
        <w:t>https://mcp.opencaselaw.ch/entscheid/sz_gerichte_STK 2016 27</w:t>
      </w:r>
    </w:p>
    <w:p>
      <w:r>
        <w:t>FR: SZ_GERICHTE STK 2016 27 du 13 décembre 2016</w:t>
      </w:r>
    </w:p>
    <w:p>
      <w:r>
        <w:t>IT: SZ_GERICHTE STK 2016 27 del 13 dicembre 2016</w:t>
      </w:r>
    </w:p>
    <w:p>
      <w:pPr>
        <w:pStyle w:val="Heading2"/>
      </w:pPr>
      <w:r>
        <w:t>Regeste</w:t>
      </w:r>
    </w:p>
    <w:p>
      <w:r>
        <w:t>Diebstahl (Art. 139 Ziff. 1 StGB); 2. Rechtsgang | Strafgesetzbuch</w:t>
      </w:r>
    </w:p>
    <w:p>
      <w:pPr>
        <w:pStyle w:val="Heading2"/>
      </w:pPr>
      <w:r>
        <w:t>Erwägungen</w:t>
      </w:r>
    </w:p>
    <w:p>
      <w:r>
        <w:rPr>
          <w:b/>
        </w:rPr>
        <w:t>E. 1</w:t>
      </w:r>
    </w:p>
    <w:p>
      <w:r>
        <w:t>Staatsanwaltschaft March, Postfach 162, Rathausplatz 1, 8853 Lachen, Anklagebehörde und Berufungsgegnerin, vertreten durch Staatsanwalt C.________,</w:t>
      </w:r>
    </w:p>
    <w:p>
      <w:r>
        <w:rPr>
          <w:b/>
        </w:rPr>
        <w:t>E. 2</w:t>
      </w:r>
    </w:p>
    <w:p>
      <w:r>
        <w:t>D.________ AG, Privatklägerin, betreffend Diebstahl (Art. 139 Ziff. 1 StGB); 2. Rechtsgang (Berufung gegen das Urteil des Bezirksgerichts March vom 18. Juni 2014, SGO 2014 2);- hat die Strafkammer,</w:t>
      </w:r>
    </w:p>
    <w:p>
      <w:r>
        <w:t>Kantonsgericht Schwyz 2 nachdem sich ergeben: A. Am 13. Februar 2014 erhob die Staatsanwaltschaft March (nachfolgend Anklagebehörde) beim Bezirksgericht March Anklage gegen A.________ (nachfolgend Beschuldigter) wegen Diebstahls im Sinne von Art. 139 Ziff. 1 StGB und vorsätzlicher grober Verkehrsregelverletzung durch Überschreiten der signalisierten Höchstgeschwindigkeit im Sinne von Art. 90 Abs. 2 i.V.m. Art. 27 Abs. 1 SVG, Art. 4a Abs. 5 VRV und Art. 22 Abs. 1 SSV (U-act. 9.1.10, STK 2014 70). Ihm werden folgende Sachverhalte zur Last gelegt: (Diebstahl) A.________ brach an einem nicht genauer bestimmbaren Zeitpunkt im Zeitraum von Donnerstag, 17. August 2006, 10:00 Uhr, bis Freitag, 18. August 2006, 09:10 Uhr, den Fotoautomaten der Firma D.________ AG auf, der beim Bahnhof in Lachen, Bahnhofplatz, aufgestellt war, in- dem er die Glasscheibe des Fotoautomaten mit einem unbekannten Ge- genstand zerschlug, hernach mit einem unbekannten Flachwerkzeug das Lampengehäuse nach oben drückte, eine Glasscheibe aus dem Black- room entfernte und schliesslich den Münzbehälter aus dem Fotoautoma- ten behändigte. Das sich im Münzbehälter befindliche Bargeld im Betrag von CHF 1‘227.00 nahm er in der Folge an sich, um es für eigene Zwe- cke zu verwenden. (Geschwindigkeitsüberschreitung) Am Dienstag, 6. August 2013, 14:33 Uhr, lenkte A.________ den Perso- nenwagen „Mini GB One“, SZ xx, in San Vittore GR, Autostrasse A13, Fahrtrichtung Chur, und überschritt dabei die signalisierte Höchstge- schwindigkeit von 80 km/h nach Abzug der Sicherheitsmarge um 41 km/h. Durch die massive Geschwindigkeitsüberschreitung schuf er eine hohe abstrakte Unfallgefahr und gefährdete andere Verkehrsteilnehmer, insbesondere seine Beifahrerin, ernsthaft. Die Anklagebehörde beantragte die Bestrafung des Beschuldigten mit einer Geldstrafe von 60 Tagessätzen à Fr. 70.00, bedingt vollziehbar bei einer Pro- bezeit von zwei Jahren, und einer Busse von Fr. 1‘050.00.</w:t>
      </w:r>
    </w:p>
    <w:p>
      <w:r>
        <w:t>Kantonsgericht Schwyz 3 B. Mit Urteil vom 18. Juni 2014 erkannte das Bezirksgericht March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